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淄博市统计局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202</w:t>
      </w: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3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年政府信息公开工作年度报告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202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" w:cs="Times New Roman"/>
          <w:sz w:val="32"/>
          <w:szCs w:val="32"/>
        </w:rPr>
        <w:t>年，市统计局在市委市政府的坚强领导下，按照“公开为常态，不公开为例外”的原则，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创新公开频次和方式，修订信息公开目录事项，</w:t>
      </w:r>
      <w:r>
        <w:rPr>
          <w:rFonts w:hint="default" w:ascii="Times New Roman" w:hAnsi="Times New Roman" w:eastAsia="仿宋" w:cs="Times New Roman"/>
          <w:sz w:val="32"/>
          <w:szCs w:val="32"/>
        </w:rPr>
        <w:t>圆满完成各项政务公开工作任务。本年度报告根据《中华人民共和国政府信息公开条例》和《国务院办公厅政府信息与政务公开办公室关于印发&lt;中华人民共和国政府信息公开工作年度报告格式&gt;的通知》（国办公开办函〔2021〕30 号）相关要求编制。本年度报告中所列数据的统计期限自 202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" w:cs="Times New Roman"/>
          <w:sz w:val="32"/>
          <w:szCs w:val="32"/>
        </w:rPr>
        <w:t>年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" w:cs="Times New Roman"/>
          <w:sz w:val="32"/>
          <w:szCs w:val="32"/>
        </w:rPr>
        <w:t>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" w:cs="Times New Roman"/>
          <w:sz w:val="32"/>
          <w:szCs w:val="32"/>
        </w:rPr>
        <w:t>日起，至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仿宋" w:cs="Times New Roman"/>
          <w:sz w:val="32"/>
          <w:szCs w:val="32"/>
        </w:rPr>
        <w:t>年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12</w:t>
      </w:r>
      <w:r>
        <w:rPr>
          <w:rFonts w:hint="default" w:ascii="Times New Roman" w:hAnsi="Times New Roman" w:eastAsia="仿宋" w:cs="Times New Roman"/>
          <w:sz w:val="32"/>
          <w:szCs w:val="32"/>
        </w:rPr>
        <w:t>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31</w:t>
      </w:r>
      <w:r>
        <w:rPr>
          <w:rFonts w:hint="default" w:ascii="Times New Roman" w:hAnsi="Times New Roman" w:eastAsia="仿宋" w:cs="Times New Roman"/>
          <w:sz w:val="32"/>
          <w:szCs w:val="32"/>
        </w:rPr>
        <w:t>日止。如对报告内容有疑问，请与淄博市统计局联系（地址：淄博市张店区联通路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306</w:t>
      </w:r>
      <w:r>
        <w:rPr>
          <w:rFonts w:hint="default" w:ascii="Times New Roman" w:hAnsi="Times New Roman" w:eastAsia="仿宋" w:cs="Times New Roman"/>
          <w:sz w:val="32"/>
          <w:szCs w:val="32"/>
        </w:rPr>
        <w:t>号；邮编：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255095</w:t>
      </w:r>
      <w:r>
        <w:rPr>
          <w:rFonts w:hint="default" w:ascii="Times New Roman" w:hAnsi="Times New Roman" w:eastAsia="仿宋" w:cs="Times New Roman"/>
          <w:sz w:val="32"/>
          <w:szCs w:val="32"/>
        </w:rPr>
        <w:t>；电话：0533-2180324；邮箱：zbstjjbgs@zb.shandong.cn）。现将有关情况报告如下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一、总体情况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202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年，市统计局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严格按照市政府关于政务公开工作的有关要求，积极完善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《淄博市统计局信息主动公开基本目录》，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严格按照公开方式、公开时限和公开内容做好统计数据、统计信息的公开，加大依申请公开的力度，拓宽主动公开的广度，全局政务信息工作顺利完成。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（一）规范做好主动信息公开工作。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聚焦市委市政府中心工作，严格按照《淄博市统计局信息主动公开基本目录》，扎实完成统计年鉴、统计分析及有关数据的发布工作，同时，创新工作方式，主动做好新闻发布会的宣传和解读工作。2023年，累计政务公开主动公开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126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条，发布工作动态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44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条，发布微信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292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篇，领导干部解读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条，文稿解读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2条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、图片解读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条，人事类信息 2 条。统计公报、统计年鉴均于发布后的 5 个工作日内在市局外网进行公开。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420" w:firstLineChars="200"/>
        <w:textAlignment w:val="auto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3162935</wp:posOffset>
            </wp:positionV>
            <wp:extent cx="5504815" cy="2817495"/>
            <wp:effectExtent l="0" t="0" r="635" b="1905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170180</wp:posOffset>
            </wp:positionV>
            <wp:extent cx="5440045" cy="2912110"/>
            <wp:effectExtent l="0" t="0" r="8255" b="254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sz w:val="32"/>
          <w:szCs w:val="32"/>
          <w:lang w:val="en-US" w:eastAsia="zh-CN"/>
        </w:rPr>
        <w:t>（二）严格程序规范做好依申请公开工作。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2023年，收到政府信息依申请公开77件，申请涉及工业、劳动工资、人口等统计数据有关情况，并严格按照依申请公开办理流程和办理要求，高标准按期完成办结。2023年，依申请公开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平台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办理件数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28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件，比2024年增加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件。政民互动平台通过民生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热线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平台办理48件。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42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102235</wp:posOffset>
            </wp:positionV>
            <wp:extent cx="5171440" cy="2897505"/>
            <wp:effectExtent l="4445" t="4445" r="5715" b="12700"/>
            <wp:wrapSquare wrapText="bothSides"/>
            <wp:docPr id="5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>
        <w:rPr>
          <w:rFonts w:hint="default" w:ascii="楷体" w:hAnsi="楷体" w:eastAsia="楷体" w:cs="楷体"/>
          <w:sz w:val="32"/>
          <w:szCs w:val="32"/>
          <w:lang w:val="en-US" w:eastAsia="zh-CN"/>
        </w:rPr>
        <w:t>（三）健全政府信息动态管理机制。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2023年，市统计局严格按照政府信息公开工作要求，及时调整领导班子、政务动态、人事信息、政务要闻等需公众知晓的信息，确保公众的参与权、知情权。2023年，持续做好统计年鉴、公报、数据信息等板块在市政府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网站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的公开，方便群众及时全面知悉经济发展情况。2023年，全局没有制定新的规范性文件，没有出现任何失泄密事件，也没有接到相关举报、投诉、行政复议和行政诉讼情况。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38100</wp:posOffset>
            </wp:positionV>
            <wp:extent cx="5299075" cy="4505960"/>
            <wp:effectExtent l="0" t="0" r="15875" b="8890"/>
            <wp:wrapSquare wrapText="bothSides"/>
            <wp:docPr id="4" name="图片 4" descr="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resul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sz w:val="32"/>
          <w:szCs w:val="32"/>
          <w:lang w:val="en-US" w:eastAsia="zh-CN"/>
        </w:rPr>
        <w:t>（四）政府信息公开平台建设情况。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严格按照《条例》要求，及时完善公开发布《淄博市统计局政府信息公开目录》，健全完善市统计局法定信息公开专栏，进一步规范设置各政府信息栏目，在“行政执法”栏目下设置“裁量标准”栏目，方便群众查阅和提出申请。增加2名政务公开工作人员，1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名负责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微信后台管理、1名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负责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政务公开后台管理，确保政务公开及时准确。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42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111760</wp:posOffset>
            </wp:positionV>
            <wp:extent cx="5316220" cy="3137535"/>
            <wp:effectExtent l="0" t="0" r="17780" b="5715"/>
            <wp:wrapSquare wrapText="bothSides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42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203200</wp:posOffset>
            </wp:positionV>
            <wp:extent cx="5273040" cy="2784475"/>
            <wp:effectExtent l="0" t="0" r="3810" b="15875"/>
            <wp:wrapSquare wrapText="bothSides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sz w:val="32"/>
          <w:szCs w:val="32"/>
          <w:lang w:val="en-US" w:eastAsia="zh-CN"/>
        </w:rPr>
        <w:t>（五）监督保障情况。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2023年，市统计局高度重视政务公开工作，主要负责同志多次要求，各科室、各单位负责同志要加强政务工作工作，提高政府公开工作的参与度，不断增强政务公开工作质效。年初，制定2023年政务公开培训计划，严格按照计划加强工作人员培训，不断提高全局人员的政务公开工作水平和业务素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42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3472815</wp:posOffset>
            </wp:positionV>
            <wp:extent cx="5272405" cy="4368800"/>
            <wp:effectExtent l="0" t="0" r="4445" b="12700"/>
            <wp:wrapSquare wrapText="bothSides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147320</wp:posOffset>
            </wp:positionV>
            <wp:extent cx="5347335" cy="4864735"/>
            <wp:effectExtent l="0" t="0" r="5715" b="12065"/>
            <wp:wrapSquare wrapText="bothSides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4864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二、主动公开政府信息情况</w:t>
      </w:r>
    </w:p>
    <w:tbl>
      <w:tblPr>
        <w:tblStyle w:val="5"/>
        <w:tblpPr w:leftFromText="180" w:rightFromText="180" w:vertAnchor="text" w:horzAnchor="page" w:tblpX="1657" w:tblpY="55"/>
        <w:tblOverlap w:val="never"/>
        <w:tblW w:w="86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590"/>
        <w:gridCol w:w="1584"/>
        <w:gridCol w:w="1620"/>
        <w:gridCol w:w="28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4" w:hRule="atLeast"/>
        </w:trPr>
        <w:tc>
          <w:tcPr>
            <w:tcW w:w="8675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4" w:hRule="atLeast"/>
        </w:trPr>
        <w:tc>
          <w:tcPr>
            <w:tcW w:w="2590" w:type="dxa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信息内容</w:t>
            </w:r>
          </w:p>
        </w:tc>
        <w:tc>
          <w:tcPr>
            <w:tcW w:w="1584" w:type="dxa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本年</w:t>
            </w: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  <w:lang w:val="en-US" w:eastAsia="zh-CN"/>
              </w:rPr>
              <w:t>制发件数</w:t>
            </w:r>
          </w:p>
        </w:tc>
        <w:tc>
          <w:tcPr>
            <w:tcW w:w="1620" w:type="dxa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本年</w:t>
            </w: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  <w:lang w:val="en-US" w:eastAsia="zh-CN"/>
              </w:rPr>
              <w:t>废止件数</w:t>
            </w:r>
          </w:p>
        </w:tc>
        <w:tc>
          <w:tcPr>
            <w:tcW w:w="2881" w:type="dxa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  <w:lang w:val="en-US" w:eastAsia="zh-CN"/>
              </w:rPr>
              <w:t>现行有效件数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4" w:hRule="atLeast"/>
        </w:trPr>
        <w:tc>
          <w:tcPr>
            <w:tcW w:w="2590" w:type="dxa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规章</w:t>
            </w:r>
          </w:p>
        </w:tc>
        <w:tc>
          <w:tcPr>
            <w:tcW w:w="1584" w:type="dxa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0</w:t>
            </w:r>
          </w:p>
        </w:tc>
        <w:tc>
          <w:tcPr>
            <w:tcW w:w="1620" w:type="dxa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0</w:t>
            </w:r>
          </w:p>
        </w:tc>
        <w:tc>
          <w:tcPr>
            <w:tcW w:w="2881" w:type="dxa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4" w:hRule="atLeast"/>
        </w:trPr>
        <w:tc>
          <w:tcPr>
            <w:tcW w:w="2590" w:type="dxa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规范性文件</w:t>
            </w:r>
          </w:p>
        </w:tc>
        <w:tc>
          <w:tcPr>
            <w:tcW w:w="1584" w:type="dxa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1620" w:type="dxa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2881" w:type="dxa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2" w:hRule="atLeast"/>
        </w:trPr>
        <w:tc>
          <w:tcPr>
            <w:tcW w:w="8675" w:type="dxa"/>
            <w:gridSpan w:val="4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第二十条第（五）项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" w:hRule="atLeast"/>
        </w:trPr>
        <w:tc>
          <w:tcPr>
            <w:tcW w:w="2590" w:type="dxa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信息内容</w:t>
            </w:r>
          </w:p>
        </w:tc>
        <w:tc>
          <w:tcPr>
            <w:tcW w:w="6085" w:type="dxa"/>
            <w:gridSpan w:val="3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2" w:hRule="atLeast"/>
        </w:trPr>
        <w:tc>
          <w:tcPr>
            <w:tcW w:w="2590" w:type="dxa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行政许可</w:t>
            </w:r>
          </w:p>
        </w:tc>
        <w:tc>
          <w:tcPr>
            <w:tcW w:w="6085" w:type="dxa"/>
            <w:gridSpan w:val="3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8675" w:type="dxa"/>
            <w:gridSpan w:val="4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第二十条第（六）项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4" w:hRule="atLeast"/>
        </w:trPr>
        <w:tc>
          <w:tcPr>
            <w:tcW w:w="2590" w:type="dxa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信息内容</w:t>
            </w:r>
          </w:p>
        </w:tc>
        <w:tc>
          <w:tcPr>
            <w:tcW w:w="6085" w:type="dxa"/>
            <w:gridSpan w:val="3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  <w:lang w:val="en-US" w:eastAsia="zh-CN"/>
              </w:rPr>
              <w:t>本年处</w:t>
            </w: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8" w:hRule="atLeast"/>
        </w:trPr>
        <w:tc>
          <w:tcPr>
            <w:tcW w:w="2590" w:type="dxa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行政处罚</w:t>
            </w:r>
          </w:p>
        </w:tc>
        <w:tc>
          <w:tcPr>
            <w:tcW w:w="6085" w:type="dxa"/>
            <w:gridSpan w:val="3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8" w:hRule="atLeast"/>
        </w:trPr>
        <w:tc>
          <w:tcPr>
            <w:tcW w:w="2590" w:type="dxa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行政强制</w:t>
            </w:r>
          </w:p>
        </w:tc>
        <w:tc>
          <w:tcPr>
            <w:tcW w:w="6085" w:type="dxa"/>
            <w:gridSpan w:val="3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2" w:hRule="atLeast"/>
        </w:trPr>
        <w:tc>
          <w:tcPr>
            <w:tcW w:w="8675" w:type="dxa"/>
            <w:gridSpan w:val="4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第二十条第（八）项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6" w:hRule="atLeast"/>
        </w:trPr>
        <w:tc>
          <w:tcPr>
            <w:tcW w:w="2590" w:type="dxa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信息内容</w:t>
            </w:r>
          </w:p>
        </w:tc>
        <w:tc>
          <w:tcPr>
            <w:tcW w:w="6085" w:type="dxa"/>
            <w:gridSpan w:val="3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  <w:lang w:val="en-US" w:eastAsia="zh-CN"/>
              </w:rPr>
              <w:t>本年收费金额（万元）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6" w:hRule="atLeast"/>
        </w:trPr>
        <w:tc>
          <w:tcPr>
            <w:tcW w:w="2590" w:type="dxa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行政事业性收费</w:t>
            </w:r>
          </w:p>
        </w:tc>
        <w:tc>
          <w:tcPr>
            <w:tcW w:w="6085" w:type="dxa"/>
            <w:gridSpan w:val="3"/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9"/>
                <w:szCs w:val="19"/>
              </w:rPr>
              <w:t>0</w:t>
            </w:r>
          </w:p>
        </w:tc>
      </w:tr>
    </w:tbl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4" w:lineRule="exact"/>
        <w:ind w:right="0"/>
        <w:jc w:val="left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Style w:val="7"/>
          <w:rFonts w:hint="default" w:ascii="Times New Roman" w:hAnsi="Times New Roman" w:eastAsia="仿宋_GB2312" w:cs="Times New Roman"/>
          <w:b/>
          <w:i w:val="0"/>
          <w:caps w:val="0"/>
          <w:color w:val="3D3D3D"/>
          <w:spacing w:val="0"/>
          <w:sz w:val="19"/>
          <w:szCs w:val="19"/>
          <w:u w:val="none"/>
        </w:rPr>
        <w:t> </w:t>
      </w:r>
      <w:r>
        <w:rPr>
          <w:rStyle w:val="7"/>
          <w:rFonts w:hint="default" w:ascii="Times New Roman" w:hAnsi="Times New Roman" w:eastAsia="仿宋_GB2312" w:cs="Times New Roman"/>
          <w:b/>
          <w:i w:val="0"/>
          <w:caps w:val="0"/>
          <w:color w:val="3D3D3D"/>
          <w:spacing w:val="0"/>
          <w:sz w:val="19"/>
          <w:szCs w:val="19"/>
          <w:u w:val="none"/>
          <w:lang w:val="en-US" w:eastAsia="zh-CN"/>
        </w:rPr>
        <w:t xml:space="preserve">    </w:t>
      </w: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 xml:space="preserve"> 三、收到和处理政府信息公开申请情况</w:t>
      </w:r>
    </w:p>
    <w:tbl>
      <w:tblPr>
        <w:tblStyle w:val="5"/>
        <w:tblW w:w="86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55"/>
        <w:gridCol w:w="1201"/>
        <w:gridCol w:w="2174"/>
        <w:gridCol w:w="348"/>
        <w:gridCol w:w="549"/>
        <w:gridCol w:w="549"/>
        <w:gridCol w:w="549"/>
        <w:gridCol w:w="549"/>
        <w:gridCol w:w="560"/>
        <w:gridCol w:w="9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7" w:hRule="atLeast"/>
          <w:jc w:val="center"/>
        </w:trPr>
        <w:tc>
          <w:tcPr>
            <w:tcW w:w="4530" w:type="dxa"/>
            <w:gridSpan w:val="3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（本列数据的勾稽关系为：第一项加第二项之和，等于第三项加第四项之和）</w:t>
            </w:r>
          </w:p>
        </w:tc>
        <w:tc>
          <w:tcPr>
            <w:tcW w:w="4087" w:type="dxa"/>
            <w:gridSpan w:val="7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申请人情况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jc w:val="center"/>
        </w:trPr>
        <w:tc>
          <w:tcPr>
            <w:tcW w:w="4530" w:type="dxa"/>
            <w:gridSpan w:val="3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34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自然人</w:t>
            </w:r>
          </w:p>
        </w:tc>
        <w:tc>
          <w:tcPr>
            <w:tcW w:w="2756" w:type="dxa"/>
            <w:gridSpan w:val="5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法人或其他组织</w:t>
            </w:r>
          </w:p>
        </w:tc>
        <w:tc>
          <w:tcPr>
            <w:tcW w:w="983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0" w:hRule="atLeast"/>
          <w:jc w:val="center"/>
        </w:trPr>
        <w:tc>
          <w:tcPr>
            <w:tcW w:w="4530" w:type="dxa"/>
            <w:gridSpan w:val="3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34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商业企业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科研机构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社会公益组织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法律服务机构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其他</w:t>
            </w:r>
          </w:p>
        </w:tc>
        <w:tc>
          <w:tcPr>
            <w:tcW w:w="983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  <w:jc w:val="center"/>
        </w:trPr>
        <w:tc>
          <w:tcPr>
            <w:tcW w:w="453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一、本年新收政府信息公开申请数量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  <w:lang w:val="en-US" w:eastAsia="zh-CN"/>
              </w:rPr>
              <w:t>77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  <w:lang w:val="en-US" w:eastAsia="zh-CN"/>
              </w:rPr>
              <w:t>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  <w:jc w:val="center"/>
        </w:trPr>
        <w:tc>
          <w:tcPr>
            <w:tcW w:w="453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二、上年结转政府信息公开申请数量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5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三、本年度办理结果</w:t>
            </w:r>
          </w:p>
        </w:tc>
        <w:tc>
          <w:tcPr>
            <w:tcW w:w="3375" w:type="dxa"/>
            <w:gridSpan w:val="2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（一）予以公开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  <w:lang w:val="en-US" w:eastAsia="zh-CN"/>
              </w:rPr>
              <w:t>77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  <w:lang w:val="en-US" w:eastAsia="zh-CN"/>
              </w:rPr>
              <w:t>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15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3375" w:type="dxa"/>
            <w:gridSpan w:val="2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（二）部分公开（区分处理的，只计这一情形，不计其他情形）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6" w:hRule="atLeast"/>
          <w:jc w:val="center"/>
        </w:trPr>
        <w:tc>
          <w:tcPr>
            <w:tcW w:w="115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1201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（三）不予公开</w:t>
            </w:r>
          </w:p>
        </w:tc>
        <w:tc>
          <w:tcPr>
            <w:tcW w:w="217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1．属于国家秘密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1201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217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2．其他法律行政法规禁止公开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1201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217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3．危及“三安全一稳定”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5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1201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217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4．保护第三方合法权益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1201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217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5．属于三类内部事务信息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  <w:jc w:val="center"/>
        </w:trPr>
        <w:tc>
          <w:tcPr>
            <w:tcW w:w="115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1201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217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6．属于四类过程性信息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1201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217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7．属于行政执法案卷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1201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217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8．属于行政查询事项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  <w:jc w:val="center"/>
        </w:trPr>
        <w:tc>
          <w:tcPr>
            <w:tcW w:w="115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1201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（四）无法提供</w:t>
            </w:r>
          </w:p>
        </w:tc>
        <w:tc>
          <w:tcPr>
            <w:tcW w:w="217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1．本机关不掌握相关政府信息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1201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217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2．没有现成信息需要另行制作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15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1201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217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3．补正后申请内容仍不明确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15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1201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（五）不予处理</w:t>
            </w:r>
          </w:p>
        </w:tc>
        <w:tc>
          <w:tcPr>
            <w:tcW w:w="217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1．信访举报投诉类申请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15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1201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217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2．重复申请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5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1201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217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3．要求提供公开出版物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1201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217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4．无正当理由大量反复申请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15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1201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217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5．要求行政机关确认或重新出具已获取信息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0" w:hRule="atLeast"/>
          <w:jc w:val="center"/>
        </w:trPr>
        <w:tc>
          <w:tcPr>
            <w:tcW w:w="1155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4372"/>
              </w:rPr>
            </w:pPr>
          </w:p>
        </w:tc>
        <w:tc>
          <w:tcPr>
            <w:tcW w:w="1201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（六）其他处理</w:t>
            </w:r>
          </w:p>
        </w:tc>
        <w:tc>
          <w:tcPr>
            <w:tcW w:w="217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  <w:lang w:val="en-US" w:eastAsia="zh-CN"/>
              </w:rPr>
              <w:t>1.申请人无正当理由逾期不补正、行政机关不再处理其政府信息公开申请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0" w:hRule="atLeast"/>
          <w:jc w:val="center"/>
        </w:trPr>
        <w:tc>
          <w:tcPr>
            <w:tcW w:w="115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</w:rPr>
            </w:pPr>
          </w:p>
        </w:tc>
        <w:tc>
          <w:tcPr>
            <w:tcW w:w="1201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</w:rPr>
            </w:pPr>
          </w:p>
        </w:tc>
        <w:tc>
          <w:tcPr>
            <w:tcW w:w="217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  <w:lang w:val="en-US" w:eastAsia="zh-CN"/>
              </w:rPr>
              <w:t>2.申请人逾期未按收费通知要求缴纳费用、行政机关不再处理其政府信息公开申请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0" w:hRule="atLeast"/>
          <w:jc w:val="center"/>
        </w:trPr>
        <w:tc>
          <w:tcPr>
            <w:tcW w:w="115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</w:pPr>
          </w:p>
        </w:tc>
        <w:tc>
          <w:tcPr>
            <w:tcW w:w="1201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</w:pPr>
          </w:p>
        </w:tc>
        <w:tc>
          <w:tcPr>
            <w:tcW w:w="217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  <w:lang w:val="en-US" w:eastAsia="zh-CN"/>
              </w:rPr>
              <w:t>3.其他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4372"/>
              </w:rPr>
            </w:pPr>
          </w:p>
        </w:tc>
        <w:tc>
          <w:tcPr>
            <w:tcW w:w="3375" w:type="dxa"/>
            <w:gridSpan w:val="2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4"/>
                <w:szCs w:val="14"/>
              </w:rPr>
              <w:t>（七）总计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333333"/>
                <w:sz w:val="18"/>
                <w:szCs w:val="18"/>
                <w:lang w:val="en-US" w:eastAsia="zh-CN"/>
              </w:rPr>
              <w:t>77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333333"/>
                <w:sz w:val="18"/>
                <w:szCs w:val="18"/>
                <w:lang w:val="en-US" w:eastAsia="zh-CN"/>
              </w:rPr>
              <w:t>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53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四、结转下年度继续办理</w:t>
            </w:r>
          </w:p>
        </w:tc>
        <w:tc>
          <w:tcPr>
            <w:tcW w:w="3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98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</w:tr>
    </w:tbl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4" w:lineRule="exact"/>
        <w:ind w:left="0" w:right="0" w:firstLine="0"/>
        <w:textAlignment w:val="auto"/>
        <w:rPr>
          <w:rStyle w:val="7"/>
          <w:rFonts w:hint="default" w:ascii="Times New Roman" w:hAnsi="Times New Roman" w:eastAsia="黑体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Style w:val="7"/>
          <w:rFonts w:hint="default" w:ascii="Times New Roman" w:hAnsi="Times New Roman" w:eastAsia="黑体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fill="FFFFFF"/>
        </w:rPr>
        <w:t> </w:t>
      </w:r>
      <w:r>
        <w:rPr>
          <w:rStyle w:val="7"/>
          <w:rFonts w:hint="default" w:ascii="Times New Roman" w:hAnsi="Times New Roman" w:eastAsia="黑体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 xml:space="preserve">  四、因政府信息公开工作被申请行政复议、行政诉讼情况</w:t>
      </w:r>
    </w:p>
    <w:tbl>
      <w:tblPr>
        <w:tblStyle w:val="5"/>
        <w:tblW w:w="85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11"/>
        <w:gridCol w:w="572"/>
        <w:gridCol w:w="572"/>
        <w:gridCol w:w="548"/>
        <w:gridCol w:w="487"/>
        <w:gridCol w:w="572"/>
        <w:gridCol w:w="572"/>
        <w:gridCol w:w="572"/>
        <w:gridCol w:w="572"/>
        <w:gridCol w:w="353"/>
        <w:gridCol w:w="694"/>
        <w:gridCol w:w="525"/>
        <w:gridCol w:w="622"/>
        <w:gridCol w:w="573"/>
        <w:gridCol w:w="4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2" w:hRule="atLeast"/>
          <w:jc w:val="center"/>
        </w:trPr>
        <w:tc>
          <w:tcPr>
            <w:tcW w:w="2990" w:type="dxa"/>
            <w:gridSpan w:val="5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行政复议</w:t>
            </w:r>
          </w:p>
        </w:tc>
        <w:tc>
          <w:tcPr>
            <w:tcW w:w="5529" w:type="dxa"/>
            <w:gridSpan w:val="10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行政诉讼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6" w:hRule="atLeast"/>
          <w:jc w:val="center"/>
        </w:trPr>
        <w:tc>
          <w:tcPr>
            <w:tcW w:w="811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结果维持</w:t>
            </w:r>
          </w:p>
        </w:tc>
        <w:tc>
          <w:tcPr>
            <w:tcW w:w="572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结果纠正</w:t>
            </w:r>
          </w:p>
        </w:tc>
        <w:tc>
          <w:tcPr>
            <w:tcW w:w="572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其他结果</w:t>
            </w:r>
          </w:p>
        </w:tc>
        <w:tc>
          <w:tcPr>
            <w:tcW w:w="54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尚未审结</w:t>
            </w:r>
          </w:p>
        </w:tc>
        <w:tc>
          <w:tcPr>
            <w:tcW w:w="487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总计</w:t>
            </w:r>
          </w:p>
        </w:tc>
        <w:tc>
          <w:tcPr>
            <w:tcW w:w="2641" w:type="dxa"/>
            <w:gridSpan w:val="5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未经复议直接起诉</w:t>
            </w:r>
          </w:p>
        </w:tc>
        <w:tc>
          <w:tcPr>
            <w:tcW w:w="2888" w:type="dxa"/>
            <w:gridSpan w:val="5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复议后起诉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11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572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572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54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487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4" w:lineRule="exact"/>
              <w:textAlignment w:val="auto"/>
              <w:rPr>
                <w:rFonts w:hint="default" w:ascii="Times New Roman" w:hAnsi="Times New Roman" w:eastAsia="仿宋_GB2312" w:cs="Times New Roman"/>
                <w:color w:val="004372"/>
                <w:sz w:val="24"/>
                <w:szCs w:val="24"/>
              </w:rPr>
            </w:pP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结果维持</w:t>
            </w: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结果纠正</w:t>
            </w: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其他结果</w:t>
            </w: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尚未审结</w:t>
            </w:r>
          </w:p>
        </w:tc>
        <w:tc>
          <w:tcPr>
            <w:tcW w:w="35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总计</w:t>
            </w:r>
          </w:p>
        </w:tc>
        <w:tc>
          <w:tcPr>
            <w:tcW w:w="69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结果维持</w:t>
            </w:r>
          </w:p>
        </w:tc>
        <w:tc>
          <w:tcPr>
            <w:tcW w:w="525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结果纠正</w:t>
            </w:r>
          </w:p>
        </w:tc>
        <w:tc>
          <w:tcPr>
            <w:tcW w:w="622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其他结果</w:t>
            </w:r>
          </w:p>
        </w:tc>
        <w:tc>
          <w:tcPr>
            <w:tcW w:w="57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尚未审结</w:t>
            </w:r>
          </w:p>
        </w:tc>
        <w:tc>
          <w:tcPr>
            <w:tcW w:w="47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6" w:hRule="atLeast"/>
          <w:jc w:val="center"/>
        </w:trPr>
        <w:tc>
          <w:tcPr>
            <w:tcW w:w="811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4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48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35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69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622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  <w:tc>
          <w:tcPr>
            <w:tcW w:w="47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4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18"/>
                <w:szCs w:val="18"/>
              </w:rPr>
              <w:t>0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政府信息公开工作</w:t>
      </w: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存在的主要问题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及</w:t>
      </w: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改进措施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 w:cs="Times New Roman"/>
          <w:sz w:val="32"/>
          <w:szCs w:val="32"/>
          <w:lang w:val="en-US" w:eastAsia="zh-CN"/>
        </w:rPr>
        <w:t>（一）存在主要问题：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2023年，市统计局政务公开工作扎实推进，取得一定成效。但对照上级要求和公众需求，仍存在一定的差距和不足，主要表现在：一是依申请公开落实力度有待加强。在年内依申请答复过程中，与咨询人取得联系，并按照时限进行了答复，但是在发送邮件的过程中，邮箱出现输入错误，导致发送没有成功，细致落实的力度还不够，需在下步工作中进一步加强。二是网站公开亮点工作还不多。目前能够按照要求，逐项做好政务公开的工作，但是，在塑造政务公开亮点、展现统计形象方面的措施还不多；三是信息公开要素规范性上有待提升。有的信息发布的过程中，存在格式不一致、要素不完备等问题。比如在“双随机一公开”发布方面，要素事项类别和实施层级有待进一步完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 w:cs="Times New Roman"/>
          <w:sz w:val="32"/>
          <w:szCs w:val="32"/>
          <w:lang w:val="en-US" w:eastAsia="zh-CN"/>
        </w:rPr>
        <w:t>（二）改进措施及整改效果：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市统计局在收到市政府反馈的通报后，立即组织专门人员逐项加以整改，逐条进行完善。一是针对依申请公开落实力度不够，进一步加大落实力度，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加强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依申请公开人员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培训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，并进行了强调，在做好依申请公开答复后，及时与申请人取得联系，做好后续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是否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满意、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是否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查收等情况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落实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，确保有反馈、有回复。二是针对塑造公开亮点方面深挖解读方式，强化意见征集，加大政策解读力度，进一步做好部门文件、统计数据等的解读，拓宽形式、丰富内容。三是针对内容不规范的问题，认真研究全市政务公开格式，逐条对应、逐项审核、逐一完善，将部门文件的发布严格按照要求进行公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六、其他需要报告的事项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楷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 w:cs="Times New Roman"/>
          <w:sz w:val="32"/>
          <w:szCs w:val="32"/>
          <w:lang w:val="en-US" w:eastAsia="zh-CN"/>
        </w:rPr>
        <w:t>（一）收取信息处理费情况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2023年，市统计局没有收取任何政府信息公开信息处理费。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eastAsia" w:ascii="Times New Roman" w:hAnsi="Times New Roman" w:eastAsia="楷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" w:cs="Times New Roman"/>
          <w:sz w:val="32"/>
          <w:szCs w:val="32"/>
          <w:lang w:val="en-US" w:eastAsia="zh-CN"/>
        </w:rPr>
        <w:t>（二）在政务公开制度、内容、形式和平台建设方面的创新实践情况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楷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健全完善政务公开工作制度，以“强、优、塑、提”扎实推动政务公开工作提档升级。强化组织保障，调整政务公开领导小组，细化政务公开工作目标，确保政务公开有计划、有部署、有落实。及时召开局务会、局长办公会认真研究，找不足、弥差距、提措施，齐抓共管推进政务公开工作。优化工作流程，调整完善《淄博市统计局政务公开工作目录》，对信息公开的时限要求、公开位置、发布内容等进行规范，提高政务公开工作质效。塑造统计形象，发挥统计“信息窗”职能作用，结合“统计开放日”、宪法宣传日等关键时点，围绕服务大局、服务中心、服务基层“三服务”职能作用，彰显统计特色。提升公开力度，把政务公开培训作为提升政务公开工作的抓手，借助“淄博统计”微信公众号政务新媒体，深入与主流新闻媒体合作力度，借助重大时间节点，扩大新闻宣传覆盖面，增强统计工作的公众知晓度，提升统计部门的社会影响力。积极畅通依申请公开受理渠道，加强与申请人的沟通协调，规范依申请公开答复流程、答复内容，在办理时限内进行答复。严格落实政府信息保密审查制度，加强信息发布审核，按照“谁主管谁负责、谁运行谁负责、谁发布谁负责”原则，严格执行“分级审核、先审后发”程序，确保涉密信息不上网、上网信息不涉密，推动政务公开工作提档升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楷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 w:cs="Times New Roman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楷体" w:cs="Times New Roman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楷体" w:cs="Times New Roman"/>
          <w:sz w:val="32"/>
          <w:szCs w:val="32"/>
          <w:lang w:val="en-US" w:eastAsia="zh-CN"/>
        </w:rPr>
        <w:t>）落实上级年度政务公开工作要点情况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2023年，市统计局严格按照国家、省、市关于全面推进政务公开的要求，认真全面贯彻落实《2023年淄博市政务公开工作方案》，不断强化组织保障，优化工作流程，塑造统计形象，推动统计政务公开工作提档升级。坚持把政务公开工作作为年度重要工作事项，列入《全市统计工作要点》，明确工作要求。调整政务公开领导小组，细化政务公开工作目标，确保政务公开有计划、有部署、有落实。进一步优化政务公开工作流程，制定了《淄博市统计局政务公开工作目录》，对信息公开的时限要求、公开位置、发布内容等进行规范，提高政务公开工作质效。发挥统计“信息窗”职能作用，结合统计工作实际，围绕服务大局、服务中心、服务基层“三服务”职能作用，及时公布统计公报、统计年鉴、统计信息分析、统计违法举报等方面，每月发布一次统计数据，每年发布一次统计年鉴，不定期发布统计信息分析，不断提升统计服务能力和水平。及时做好会议公开，做到同步组织、同步公开、同步解读，为全市政务公开做出统计应有的贡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楷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 w:cs="Times New Roman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楷体" w:cs="Times New Roman"/>
          <w:sz w:val="32"/>
          <w:szCs w:val="32"/>
          <w:lang w:val="en-US" w:eastAsia="zh-CN"/>
        </w:rPr>
        <w:t>四</w:t>
      </w:r>
      <w:r>
        <w:rPr>
          <w:rFonts w:hint="default" w:ascii="Times New Roman" w:hAnsi="Times New Roman" w:eastAsia="楷体" w:cs="Times New Roman"/>
          <w:sz w:val="32"/>
          <w:szCs w:val="32"/>
          <w:lang w:val="en-US" w:eastAsia="zh-CN"/>
        </w:rPr>
        <w:t>）人大代表建议和政协提案办理情况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2023年，收到1件人大及政协建议提案，并按期限按要求进行办理。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4160" w:firstLineChars="13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淄博市统计局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                   2024年1月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29</w:t>
      </w:r>
      <w:bookmarkStart w:id="0" w:name="_GoBack"/>
      <w:bookmarkEnd w:id="0"/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>—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9tdHoS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M9tdHoSAgAAFQ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>—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zZGJhOGNhMTAwMTlmODJiMzJhNTk3ZjhiOWZlYWMifQ=="/>
  </w:docVars>
  <w:rsids>
    <w:rsidRoot w:val="747B7439"/>
    <w:rsid w:val="15EE3F6D"/>
    <w:rsid w:val="21F665C5"/>
    <w:rsid w:val="453827FD"/>
    <w:rsid w:val="6B690FB1"/>
    <w:rsid w:val="747B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chart" Target="charts/chart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&#24037;&#20316;&#31807;2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t>依申请公开情况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338947368421053"/>
          <c:y val="0.22037037037037"/>
          <c:w val="0.912157894736842"/>
          <c:h val="0.71166666666666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[工作簿2]Sheet1!$A$1:$B$1</c:f>
              <c:strCache>
                <c:ptCount val="2"/>
                <c:pt idx="0">
                  <c:v>2022年</c:v>
                </c:pt>
                <c:pt idx="1">
                  <c:v>2023年</c:v>
                </c:pt>
              </c:strCache>
            </c:strRef>
          </c:cat>
          <c:val>
            <c:numRef>
              <c:f>[工作簿2]Sheet1!$A$2:$B$2</c:f>
              <c:numCache>
                <c:formatCode>General</c:formatCode>
                <c:ptCount val="2"/>
                <c:pt idx="0">
                  <c:v>28</c:v>
                </c:pt>
                <c:pt idx="1">
                  <c:v>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6"/>
        <c:overlap val="-28"/>
        <c:axId val="115213045"/>
        <c:axId val="462559844"/>
      </c:barChart>
      <c:catAx>
        <c:axId val="115213045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462559844"/>
        <c:crosses val="autoZero"/>
        <c:auto val="1"/>
        <c:lblAlgn val="ctr"/>
        <c:lblOffset val="100"/>
        <c:noMultiLvlLbl val="0"/>
      </c:catAx>
      <c:valAx>
        <c:axId val="4625598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02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1521304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bg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3844</Words>
  <Characters>3969</Characters>
  <Lines>0</Lines>
  <Paragraphs>0</Paragraphs>
  <TotalTime>13</TotalTime>
  <ScaleCrop>false</ScaleCrop>
  <LinksUpToDate>false</LinksUpToDate>
  <CharactersWithSpaces>4023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2024-01-22T01:58:00Z</dcterms:created>
  <dc:creator>在一起～</dc:creator>
  <cp:lastModifiedBy>zbtj</cp:lastModifiedBy>
  <cp:lastPrinted>2024-01-22T03:37:00Z</cp:lastPrinted>
  <dcterms:modified xsi:type="dcterms:W3CDTF">2024-01-28T08:04:39Z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  <property fmtid="{D5CDD505-2E9C-101B-9397-08002B2CF9AE}" pid="3" name="ICV">
    <vt:lpwstr>A9A091B307FC4C469EC8E894F4A8D465_11</vt:lpwstr>
  </property>
</Properties>
</file>