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014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</w:p>
    <w:p w14:paraId="29F57F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044EA9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淄博市统计局</w:t>
      </w:r>
    </w:p>
    <w:p w14:paraId="6038CA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年政府信息公开工作年度报告</w:t>
      </w:r>
    </w:p>
    <w:p w14:paraId="5DBEDE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5D8B8E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</w:rPr>
        <w:t>年，市统计局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坚持以习近平新时代中国特色社会主义思想为指导，按照“涉密信息不上网，上网信息不涉密”的原则，创新公开频次和方式，及时修改主动公开信息目录事项，各项政务公开工作顺利推进。</w:t>
      </w:r>
      <w:r>
        <w:rPr>
          <w:rFonts w:hint="default" w:ascii="Times New Roman" w:hAnsi="Times New Roman" w:eastAsia="仿宋" w:cs="Times New Roman"/>
          <w:sz w:val="32"/>
          <w:szCs w:val="32"/>
        </w:rPr>
        <w:t>本年度报告根据《中华人民共和国政府信息公开条例》和《国务院办公厅政府信息与政务公开办公室关于印发&lt;中华人民共和国政府信息公开工作年度报告格式&gt;的通知》（国办公开办函〔2021〕30 号）相关要求编制。本年度报告中所列数据的统计期限自 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</w:rPr>
        <w:t>日起，至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" w:cs="Times New Roman"/>
          <w:sz w:val="32"/>
          <w:szCs w:val="32"/>
        </w:rPr>
        <w:t>日止。如对报告内容有疑问，请与淄博市统计局联系（地址：淄博市张店区联通路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306</w:t>
      </w:r>
      <w:r>
        <w:rPr>
          <w:rFonts w:hint="default" w:ascii="Times New Roman" w:hAnsi="Times New Roman" w:eastAsia="仿宋" w:cs="Times New Roman"/>
          <w:sz w:val="32"/>
          <w:szCs w:val="32"/>
        </w:rPr>
        <w:t>号；邮编：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255095</w:t>
      </w:r>
      <w:r>
        <w:rPr>
          <w:rFonts w:hint="default" w:ascii="Times New Roman" w:hAnsi="Times New Roman" w:eastAsia="仿宋" w:cs="Times New Roman"/>
          <w:sz w:val="32"/>
          <w:szCs w:val="32"/>
        </w:rPr>
        <w:t>；电话：0533-2180324；邮箱：zbstjjbgs@zb.shandong.cn）。现将有关情况报告如下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：</w:t>
      </w:r>
    </w:p>
    <w:p w14:paraId="43928A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一、总体情况</w:t>
      </w:r>
    </w:p>
    <w:p w14:paraId="0ABDF8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年，市统计局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严格落实市委、市政府工作要求，紧紧围绕中心、服务大局，持续提升政务公开标准化、规范化和信息化水平，主动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加大依申请公开的力度，拓宽主动公开的广度，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为新时代社会主义现代化强市建设做出统计贡献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 w14:paraId="259F96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（一）主动信息公开工作扎实推进。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按照省、市关于主动公开的要求，第一时间更新《淄博市统计局信息主动公开基本目录》，并按时限要求主动公开。2024年，主动公开机关职能、领导分工、内设机构和直属单位，明确了办公地址、办公时间和联系方式。主动更新人事任免信息4条，财政预决算信息8条，政务动态47条，统计数据信息18条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文稿解读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1条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、图片解读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条，统计公报、统计年鉴均于发布后的 5 个工作日内在市局外网进行公开。</w:t>
      </w:r>
    </w:p>
    <w:p w14:paraId="1384A7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楷体" w:hAnsi="楷体" w:eastAsia="楷体" w:cs="楷体"/>
          <w:sz w:val="32"/>
          <w:szCs w:val="32"/>
          <w:lang w:val="en-US" w:eastAsia="zh-CN"/>
        </w:rPr>
        <w:t>（二）依申请公开工作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严格依法办理</w:t>
      </w:r>
      <w:r>
        <w:rPr>
          <w:rFonts w:hint="default" w:ascii="楷体" w:hAnsi="楷体" w:eastAsia="楷体" w:cs="楷体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年，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市统计局严格落实《中华人民共和国信息公开条例》，认真落实依申请公开办理流程和工作要求，对涉及全局的工业统计、劳动工资统计、统计年鉴等内容，高标准按程序办理完成。年内，依申请公开平台受理办件数22件，比2023年减少6件，并向市政府政务公开办报送依申请公开典型案例1件。</w:t>
      </w:r>
    </w:p>
    <w:p w14:paraId="3FF5FD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三）政府信息管理机制健全完善。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2024年，按照省局、市政府关于编制主动公开目录的要求，第一时间编制淄博市统计局政府信息主动公开目录，并以文件印发各区县局。严格落实政府信息公开保密审查各项工作要求，坚持“涉密信息不上网，上网信息不涉密”的原则，进一步落实保密审查的职责分工、审查程序，促进政务公开工作规范化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年，全局没有制定新的规范性文件，没有出现任何失泄密事件，也没有接到相关举报、投诉、行政复议和行政诉讼情况。</w:t>
      </w:r>
    </w:p>
    <w:p w14:paraId="455E2D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楷体" w:hAnsi="楷体" w:eastAsia="楷体" w:cs="楷体"/>
          <w:sz w:val="32"/>
          <w:szCs w:val="32"/>
          <w:lang w:val="en-US" w:eastAsia="zh-CN"/>
        </w:rPr>
        <w:t>（四）政府信息公开平台建设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进一步完善。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高度重视政府信息公开平台建设，严格按照市政府关于政务公开的要求，规范设置政府信息栏目，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在“行政执法”栏目下设置“裁量标准”栏目，方便群众查阅和提出申请。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及时做好政府网站年度工作，认真完善线下公开渠道平台管理，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名负责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微信后台管理、1名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负责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政务公开后台管理，确保政务公开及时准确。</w:t>
      </w:r>
    </w:p>
    <w:p w14:paraId="095D18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楷体" w:hAnsi="楷体" w:eastAsia="楷体" w:cs="楷体"/>
          <w:sz w:val="32"/>
          <w:szCs w:val="32"/>
          <w:lang w:val="en-US" w:eastAsia="zh-CN"/>
        </w:rPr>
        <w:t>（五）监督保障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工作持续加强</w:t>
      </w:r>
      <w:r>
        <w:rPr>
          <w:rFonts w:hint="default" w:ascii="楷体" w:hAnsi="楷体" w:eastAsia="楷体" w:cs="楷体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年，市统计局高度重视政务公开工作，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局主要负责同志、分管负责同志曾多次对政务公开工作提出明确要求，进一步加强政务公开工作，提升政务公开质效。及时调整政务公开工作领导小组，制定《淄博市统计局2024年度政务公开工作学习培训计划》，不断增强机关干部的政务公开能力，促进我局政务公开工作的常态化、制度化、规范化。</w:t>
      </w:r>
    </w:p>
    <w:p w14:paraId="5F016B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二、主动公开政府信息情况</w:t>
      </w:r>
    </w:p>
    <w:tbl>
      <w:tblPr>
        <w:tblStyle w:val="6"/>
        <w:tblpPr w:leftFromText="180" w:rightFromText="180" w:vertAnchor="text" w:horzAnchor="page" w:tblpX="1657" w:tblpY="55"/>
        <w:tblOverlap w:val="never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0"/>
        <w:gridCol w:w="1584"/>
        <w:gridCol w:w="1620"/>
        <w:gridCol w:w="2881"/>
      </w:tblGrid>
      <w:tr w14:paraId="020BB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</w:trPr>
        <w:tc>
          <w:tcPr>
            <w:tcW w:w="8675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13CDE48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9"/>
                <w:szCs w:val="19"/>
              </w:rPr>
              <w:t>第二十条第（一）项</w:t>
            </w:r>
          </w:p>
        </w:tc>
      </w:tr>
      <w:tr w14:paraId="1F950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2590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084D8F8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9"/>
                <w:szCs w:val="19"/>
              </w:rPr>
              <w:t>信息内容</w:t>
            </w:r>
          </w:p>
        </w:tc>
        <w:tc>
          <w:tcPr>
            <w:tcW w:w="1584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3518507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9"/>
                <w:szCs w:val="19"/>
              </w:rPr>
              <w:t>本年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19"/>
                <w:szCs w:val="19"/>
                <w:lang w:val="en-US" w:eastAsia="zh-CN"/>
              </w:rPr>
              <w:t>制发件数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6DA0177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9"/>
                <w:szCs w:val="19"/>
              </w:rPr>
              <w:t>本年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19"/>
                <w:szCs w:val="19"/>
                <w:lang w:val="en-US" w:eastAsia="zh-CN"/>
              </w:rPr>
              <w:t>废止件数</w:t>
            </w:r>
          </w:p>
        </w:tc>
        <w:tc>
          <w:tcPr>
            <w:tcW w:w="2881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7E75111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9"/>
                <w:szCs w:val="19"/>
                <w:lang w:val="en-US" w:eastAsia="zh-CN"/>
              </w:rPr>
              <w:t>现行有效件数</w:t>
            </w:r>
          </w:p>
        </w:tc>
      </w:tr>
      <w:tr w14:paraId="09F2C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2590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2B6F760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9"/>
                <w:szCs w:val="19"/>
              </w:rPr>
              <w:t>规章</w:t>
            </w:r>
          </w:p>
        </w:tc>
        <w:tc>
          <w:tcPr>
            <w:tcW w:w="1584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3579880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9"/>
                <w:szCs w:val="19"/>
              </w:rPr>
              <w:t>0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1D7EACA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9"/>
                <w:szCs w:val="19"/>
              </w:rPr>
              <w:t>0</w:t>
            </w:r>
          </w:p>
        </w:tc>
        <w:tc>
          <w:tcPr>
            <w:tcW w:w="2881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3E3DFB0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9"/>
                <w:szCs w:val="19"/>
              </w:rPr>
              <w:t>0</w:t>
            </w:r>
          </w:p>
        </w:tc>
      </w:tr>
      <w:tr w14:paraId="1CA21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2590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05175B2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9"/>
                <w:szCs w:val="19"/>
              </w:rPr>
              <w:t>规范性文件</w:t>
            </w:r>
          </w:p>
        </w:tc>
        <w:tc>
          <w:tcPr>
            <w:tcW w:w="1584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2ED0B69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5605DF2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2881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1EE9571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9"/>
                <w:szCs w:val="19"/>
                <w:lang w:val="en-US" w:eastAsia="zh-CN"/>
              </w:rPr>
              <w:t>1</w:t>
            </w:r>
          </w:p>
        </w:tc>
      </w:tr>
      <w:tr w14:paraId="20392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8675" w:type="dxa"/>
            <w:gridSpan w:val="4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645C478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9"/>
                <w:szCs w:val="19"/>
              </w:rPr>
              <w:t>第二十条第（五）项</w:t>
            </w:r>
          </w:p>
        </w:tc>
      </w:tr>
      <w:tr w14:paraId="35784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2590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57EFC9D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9"/>
                <w:szCs w:val="19"/>
              </w:rPr>
              <w:t>信息内容</w:t>
            </w:r>
          </w:p>
        </w:tc>
        <w:tc>
          <w:tcPr>
            <w:tcW w:w="6085" w:type="dxa"/>
            <w:gridSpan w:val="3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7DB641F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9"/>
                <w:szCs w:val="19"/>
              </w:rPr>
              <w:t>本年处理决定数量</w:t>
            </w:r>
          </w:p>
        </w:tc>
      </w:tr>
      <w:tr w14:paraId="574CB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2590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0290119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9"/>
                <w:szCs w:val="19"/>
              </w:rPr>
              <w:t>行政许可</w:t>
            </w:r>
          </w:p>
        </w:tc>
        <w:tc>
          <w:tcPr>
            <w:tcW w:w="6085" w:type="dxa"/>
            <w:gridSpan w:val="3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6383FB9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9"/>
                <w:szCs w:val="19"/>
              </w:rPr>
              <w:t>0</w:t>
            </w:r>
          </w:p>
        </w:tc>
      </w:tr>
      <w:tr w14:paraId="384B4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8675" w:type="dxa"/>
            <w:gridSpan w:val="4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44DE4BB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9"/>
                <w:szCs w:val="19"/>
              </w:rPr>
              <w:t>第二十条第（六）项</w:t>
            </w:r>
          </w:p>
        </w:tc>
      </w:tr>
      <w:tr w14:paraId="3B81C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</w:trPr>
        <w:tc>
          <w:tcPr>
            <w:tcW w:w="2590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33C2D01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9"/>
                <w:szCs w:val="19"/>
              </w:rPr>
              <w:t>信息内容</w:t>
            </w:r>
          </w:p>
        </w:tc>
        <w:tc>
          <w:tcPr>
            <w:tcW w:w="6085" w:type="dxa"/>
            <w:gridSpan w:val="3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757344D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9"/>
                <w:szCs w:val="19"/>
                <w:lang w:val="en-US" w:eastAsia="zh-CN"/>
              </w:rPr>
              <w:t>本年处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19"/>
                <w:szCs w:val="19"/>
              </w:rPr>
              <w:t>理决定数量</w:t>
            </w:r>
          </w:p>
        </w:tc>
      </w:tr>
      <w:tr w14:paraId="1FD42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2590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04FEB82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9"/>
                <w:szCs w:val="19"/>
              </w:rPr>
              <w:t>行政处罚</w:t>
            </w:r>
          </w:p>
        </w:tc>
        <w:tc>
          <w:tcPr>
            <w:tcW w:w="6085" w:type="dxa"/>
            <w:gridSpan w:val="3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1EBC578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9"/>
                <w:szCs w:val="19"/>
              </w:rPr>
              <w:t>0</w:t>
            </w:r>
          </w:p>
        </w:tc>
      </w:tr>
      <w:tr w14:paraId="21C3C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2590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6780A27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9"/>
                <w:szCs w:val="19"/>
              </w:rPr>
              <w:t>行政强制</w:t>
            </w:r>
          </w:p>
        </w:tc>
        <w:tc>
          <w:tcPr>
            <w:tcW w:w="6085" w:type="dxa"/>
            <w:gridSpan w:val="3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06A1A73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9"/>
                <w:szCs w:val="19"/>
              </w:rPr>
              <w:t>0</w:t>
            </w:r>
          </w:p>
        </w:tc>
      </w:tr>
      <w:tr w14:paraId="69483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8675" w:type="dxa"/>
            <w:gridSpan w:val="4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288F199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9"/>
                <w:szCs w:val="19"/>
              </w:rPr>
              <w:t>第二十条第（八）项</w:t>
            </w:r>
          </w:p>
        </w:tc>
      </w:tr>
      <w:tr w14:paraId="79066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2590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3EC1FFC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9"/>
                <w:szCs w:val="19"/>
              </w:rPr>
              <w:t>信息内容</w:t>
            </w:r>
          </w:p>
        </w:tc>
        <w:tc>
          <w:tcPr>
            <w:tcW w:w="6085" w:type="dxa"/>
            <w:gridSpan w:val="3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36EFBFF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9"/>
                <w:szCs w:val="19"/>
                <w:lang w:val="en-US" w:eastAsia="zh-CN"/>
              </w:rPr>
              <w:t>本年收费金额（万元）</w:t>
            </w:r>
          </w:p>
        </w:tc>
      </w:tr>
      <w:tr w14:paraId="7B3E3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2590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1DC56EF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9"/>
                <w:szCs w:val="19"/>
              </w:rPr>
              <w:t>行政事业性收费</w:t>
            </w:r>
          </w:p>
        </w:tc>
        <w:tc>
          <w:tcPr>
            <w:tcW w:w="6085" w:type="dxa"/>
            <w:gridSpan w:val="3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39E2F24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9"/>
                <w:szCs w:val="19"/>
              </w:rPr>
              <w:t>0</w:t>
            </w:r>
          </w:p>
        </w:tc>
      </w:tr>
    </w:tbl>
    <w:p w14:paraId="57F507C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right="0"/>
        <w:jc w:val="left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default" w:ascii="Times New Roman" w:hAnsi="Times New Roman" w:eastAsia="仿宋_GB2312" w:cs="Times New Roman"/>
          <w:b/>
          <w:i w:val="0"/>
          <w:caps w:val="0"/>
          <w:color w:val="3D3D3D"/>
          <w:spacing w:val="0"/>
          <w:sz w:val="19"/>
          <w:szCs w:val="19"/>
          <w:u w:val="none"/>
        </w:rPr>
        <w:t> </w:t>
      </w:r>
      <w:r>
        <w:rPr>
          <w:rStyle w:val="8"/>
          <w:rFonts w:hint="default" w:ascii="Times New Roman" w:hAnsi="Times New Roman" w:eastAsia="仿宋_GB2312" w:cs="Times New Roman"/>
          <w:b/>
          <w:i w:val="0"/>
          <w:caps w:val="0"/>
          <w:color w:val="3D3D3D"/>
          <w:spacing w:val="0"/>
          <w:sz w:val="19"/>
          <w:szCs w:val="19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 xml:space="preserve"> 三、收到和处理政府信息公开申请情况</w:t>
      </w:r>
    </w:p>
    <w:tbl>
      <w:tblPr>
        <w:tblStyle w:val="6"/>
        <w:tblW w:w="8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5"/>
        <w:gridCol w:w="1201"/>
        <w:gridCol w:w="2174"/>
        <w:gridCol w:w="348"/>
        <w:gridCol w:w="549"/>
        <w:gridCol w:w="549"/>
        <w:gridCol w:w="549"/>
        <w:gridCol w:w="549"/>
        <w:gridCol w:w="560"/>
        <w:gridCol w:w="983"/>
      </w:tblGrid>
      <w:tr w14:paraId="0FE93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4530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06C0AE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（本列数据的勾稽关系为：第一项加第二项之和，等于第三项加第四项之和）</w:t>
            </w:r>
          </w:p>
        </w:tc>
        <w:tc>
          <w:tcPr>
            <w:tcW w:w="4087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983B05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申请人情况</w:t>
            </w:r>
          </w:p>
        </w:tc>
      </w:tr>
      <w:tr w14:paraId="41A6C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530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95189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textAlignment w:val="auto"/>
              <w:rPr>
                <w:rFonts w:hint="default" w:ascii="Times New Roman" w:hAnsi="Times New Roman" w:eastAsia="仿宋_GB2312" w:cs="Times New Roman"/>
                <w:color w:val="004372"/>
                <w:sz w:val="24"/>
                <w:szCs w:val="24"/>
              </w:rPr>
            </w:pPr>
          </w:p>
        </w:tc>
        <w:tc>
          <w:tcPr>
            <w:tcW w:w="34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1098E1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自然人</w:t>
            </w:r>
          </w:p>
        </w:tc>
        <w:tc>
          <w:tcPr>
            <w:tcW w:w="2756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7EA575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法人或其他组织</w:t>
            </w:r>
          </w:p>
        </w:tc>
        <w:tc>
          <w:tcPr>
            <w:tcW w:w="98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9A8CAB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总计</w:t>
            </w:r>
          </w:p>
        </w:tc>
      </w:tr>
      <w:tr w14:paraId="4F7BF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4530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AC667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textAlignment w:val="auto"/>
              <w:rPr>
                <w:rFonts w:hint="default" w:ascii="Times New Roman" w:hAnsi="Times New Roman" w:eastAsia="仿宋_GB2312" w:cs="Times New Roman"/>
                <w:color w:val="004372"/>
                <w:sz w:val="24"/>
                <w:szCs w:val="24"/>
              </w:rPr>
            </w:pPr>
          </w:p>
        </w:tc>
        <w:tc>
          <w:tcPr>
            <w:tcW w:w="34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9618F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textAlignment w:val="auto"/>
              <w:rPr>
                <w:rFonts w:hint="default" w:ascii="Times New Roman" w:hAnsi="Times New Roman" w:eastAsia="仿宋_GB2312" w:cs="Times New Roman"/>
                <w:color w:val="004372"/>
                <w:sz w:val="24"/>
                <w:szCs w:val="24"/>
              </w:rPr>
            </w:pP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0AFBAF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商业企业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8FC79C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科研机构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3558F2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社会公益组织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B6FF53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法律服务机构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263206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其他</w:t>
            </w:r>
          </w:p>
        </w:tc>
        <w:tc>
          <w:tcPr>
            <w:tcW w:w="98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F8D1F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textAlignment w:val="auto"/>
              <w:rPr>
                <w:rFonts w:hint="default" w:ascii="Times New Roman" w:hAnsi="Times New Roman" w:eastAsia="仿宋_GB2312" w:cs="Times New Roman"/>
                <w:color w:val="004372"/>
                <w:sz w:val="24"/>
                <w:szCs w:val="24"/>
              </w:rPr>
            </w:pPr>
          </w:p>
        </w:tc>
      </w:tr>
      <w:tr w14:paraId="632C9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53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34BB109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一、本年新收政府信息公开申请数量</w:t>
            </w:r>
          </w:p>
        </w:tc>
        <w:tc>
          <w:tcPr>
            <w:tcW w:w="3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716D636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BFDC33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A60B81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D014F2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5273DE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2D2D4C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9B6927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18"/>
                <w:szCs w:val="18"/>
                <w:lang w:val="en-US" w:eastAsia="zh-CN"/>
              </w:rPr>
              <w:t>69</w:t>
            </w:r>
          </w:p>
        </w:tc>
      </w:tr>
      <w:tr w14:paraId="2D10E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453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1873666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二、上年结转政府信息公开申请数量</w:t>
            </w:r>
          </w:p>
        </w:tc>
        <w:tc>
          <w:tcPr>
            <w:tcW w:w="3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0A0FFAA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79911AA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18ECFD1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47FAA96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595088E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0E1C00D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5C4DA56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</w:tr>
      <w:tr w14:paraId="450DE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115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9B0181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三、本年度办理结果</w:t>
            </w:r>
          </w:p>
        </w:tc>
        <w:tc>
          <w:tcPr>
            <w:tcW w:w="337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0676089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4"/>
                <w:szCs w:val="14"/>
              </w:rPr>
              <w:t>（一）予以公开</w:t>
            </w:r>
          </w:p>
        </w:tc>
        <w:tc>
          <w:tcPr>
            <w:tcW w:w="3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6C498B6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4EE0111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7194160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07EF352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49D7647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7BC0FC4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5ECFEA6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18"/>
                <w:szCs w:val="18"/>
                <w:lang w:val="en-US" w:eastAsia="zh-CN"/>
              </w:rPr>
              <w:t>69</w:t>
            </w:r>
          </w:p>
        </w:tc>
      </w:tr>
      <w:tr w14:paraId="143D5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9B725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textAlignment w:val="auto"/>
              <w:rPr>
                <w:rFonts w:hint="default" w:ascii="Times New Roman" w:hAnsi="Times New Roman" w:eastAsia="仿宋_GB2312" w:cs="Times New Roman"/>
                <w:color w:val="004372"/>
                <w:sz w:val="24"/>
                <w:szCs w:val="24"/>
              </w:rPr>
            </w:pPr>
          </w:p>
        </w:tc>
        <w:tc>
          <w:tcPr>
            <w:tcW w:w="337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2CC02A5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4"/>
                <w:szCs w:val="14"/>
              </w:rPr>
              <w:t>（二）部分公开（区分处理的，只计这一情形，不计其他情形）</w:t>
            </w:r>
          </w:p>
        </w:tc>
        <w:tc>
          <w:tcPr>
            <w:tcW w:w="3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24A7878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3724961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3F31720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2CF9094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602B8A9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07FA7E9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2FFB614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  <w:lang w:val="en-US"/>
              </w:rPr>
              <w:t>0</w:t>
            </w:r>
          </w:p>
        </w:tc>
      </w:tr>
      <w:tr w14:paraId="2DACD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B9E7B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textAlignment w:val="auto"/>
              <w:rPr>
                <w:rFonts w:hint="default" w:ascii="Times New Roman" w:hAnsi="Times New Roman" w:eastAsia="仿宋_GB2312" w:cs="Times New Roman"/>
                <w:color w:val="004372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DED5E0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4"/>
                <w:szCs w:val="14"/>
              </w:rPr>
              <w:t>（三）不予公开</w:t>
            </w:r>
          </w:p>
        </w:tc>
        <w:tc>
          <w:tcPr>
            <w:tcW w:w="217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11D9530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4"/>
                <w:szCs w:val="14"/>
              </w:rPr>
              <w:t>1．属于国家秘密</w:t>
            </w:r>
          </w:p>
        </w:tc>
        <w:tc>
          <w:tcPr>
            <w:tcW w:w="3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492CD10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3EBE6CD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72C00C5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33BAE50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4E55B43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13B1D0C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0A686B2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</w:tr>
      <w:tr w14:paraId="52EE7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4AE5F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textAlignment w:val="auto"/>
              <w:rPr>
                <w:rFonts w:hint="default" w:ascii="Times New Roman" w:hAnsi="Times New Roman" w:eastAsia="仿宋_GB2312" w:cs="Times New Roman"/>
                <w:color w:val="004372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EDE7A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textAlignment w:val="auto"/>
              <w:rPr>
                <w:rFonts w:hint="default" w:ascii="Times New Roman" w:hAnsi="Times New Roman" w:eastAsia="仿宋_GB2312" w:cs="Times New Roman"/>
                <w:color w:val="004372"/>
                <w:sz w:val="24"/>
                <w:szCs w:val="24"/>
              </w:rPr>
            </w:pPr>
          </w:p>
        </w:tc>
        <w:tc>
          <w:tcPr>
            <w:tcW w:w="217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1651959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4"/>
                <w:szCs w:val="14"/>
              </w:rPr>
              <w:t>2．其他法律行政法规禁止公开</w:t>
            </w:r>
          </w:p>
        </w:tc>
        <w:tc>
          <w:tcPr>
            <w:tcW w:w="3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29301B7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75878B4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6A6AB5D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746474B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66F2CB0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1A585B5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314AB32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</w:tr>
      <w:tr w14:paraId="48571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F695E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textAlignment w:val="auto"/>
              <w:rPr>
                <w:rFonts w:hint="default" w:ascii="Times New Roman" w:hAnsi="Times New Roman" w:eastAsia="仿宋_GB2312" w:cs="Times New Roman"/>
                <w:color w:val="004372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6CFAC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textAlignment w:val="auto"/>
              <w:rPr>
                <w:rFonts w:hint="default" w:ascii="Times New Roman" w:hAnsi="Times New Roman" w:eastAsia="仿宋_GB2312" w:cs="Times New Roman"/>
                <w:color w:val="004372"/>
                <w:sz w:val="24"/>
                <w:szCs w:val="24"/>
              </w:rPr>
            </w:pPr>
          </w:p>
        </w:tc>
        <w:tc>
          <w:tcPr>
            <w:tcW w:w="217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7D087EA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4"/>
                <w:szCs w:val="14"/>
              </w:rPr>
              <w:t>3．危及“三安全一稳定”</w:t>
            </w:r>
          </w:p>
        </w:tc>
        <w:tc>
          <w:tcPr>
            <w:tcW w:w="3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29159AA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4033998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7D60F1E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0793D86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058554E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7148A03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5E519D3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</w:tr>
      <w:tr w14:paraId="571C2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E74BE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textAlignment w:val="auto"/>
              <w:rPr>
                <w:rFonts w:hint="default" w:ascii="Times New Roman" w:hAnsi="Times New Roman" w:eastAsia="仿宋_GB2312" w:cs="Times New Roman"/>
                <w:color w:val="004372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92539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textAlignment w:val="auto"/>
              <w:rPr>
                <w:rFonts w:hint="default" w:ascii="Times New Roman" w:hAnsi="Times New Roman" w:eastAsia="仿宋_GB2312" w:cs="Times New Roman"/>
                <w:color w:val="004372"/>
                <w:sz w:val="24"/>
                <w:szCs w:val="24"/>
              </w:rPr>
            </w:pPr>
          </w:p>
        </w:tc>
        <w:tc>
          <w:tcPr>
            <w:tcW w:w="217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7529E67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4"/>
                <w:szCs w:val="14"/>
              </w:rPr>
              <w:t>4．保护第三方合法权益</w:t>
            </w:r>
          </w:p>
        </w:tc>
        <w:tc>
          <w:tcPr>
            <w:tcW w:w="3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3B05B20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24BC6F7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67624AB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7CEFE2A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5161510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4C31CD5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7E4D25D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</w:tr>
      <w:tr w14:paraId="1AFC7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4CE67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textAlignment w:val="auto"/>
              <w:rPr>
                <w:rFonts w:hint="default" w:ascii="Times New Roman" w:hAnsi="Times New Roman" w:eastAsia="仿宋_GB2312" w:cs="Times New Roman"/>
                <w:color w:val="004372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A037A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textAlignment w:val="auto"/>
              <w:rPr>
                <w:rFonts w:hint="default" w:ascii="Times New Roman" w:hAnsi="Times New Roman" w:eastAsia="仿宋_GB2312" w:cs="Times New Roman"/>
                <w:color w:val="004372"/>
                <w:sz w:val="24"/>
                <w:szCs w:val="24"/>
              </w:rPr>
            </w:pPr>
          </w:p>
        </w:tc>
        <w:tc>
          <w:tcPr>
            <w:tcW w:w="217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377E69D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4"/>
                <w:szCs w:val="14"/>
              </w:rPr>
              <w:t>5．属于三类内部事务信息</w:t>
            </w:r>
          </w:p>
        </w:tc>
        <w:tc>
          <w:tcPr>
            <w:tcW w:w="3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4842994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18FEFF8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37858F0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12AF5BA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3419B7E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672CA12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68EE97A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</w:tr>
      <w:tr w14:paraId="66E51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70D52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textAlignment w:val="auto"/>
              <w:rPr>
                <w:rFonts w:hint="default" w:ascii="Times New Roman" w:hAnsi="Times New Roman" w:eastAsia="仿宋_GB2312" w:cs="Times New Roman"/>
                <w:color w:val="004372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9E7FF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textAlignment w:val="auto"/>
              <w:rPr>
                <w:rFonts w:hint="default" w:ascii="Times New Roman" w:hAnsi="Times New Roman" w:eastAsia="仿宋_GB2312" w:cs="Times New Roman"/>
                <w:color w:val="004372"/>
                <w:sz w:val="24"/>
                <w:szCs w:val="24"/>
              </w:rPr>
            </w:pPr>
          </w:p>
        </w:tc>
        <w:tc>
          <w:tcPr>
            <w:tcW w:w="217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711D020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4"/>
                <w:szCs w:val="14"/>
              </w:rPr>
              <w:t>6．属于四类过程性信息</w:t>
            </w:r>
          </w:p>
        </w:tc>
        <w:tc>
          <w:tcPr>
            <w:tcW w:w="3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66C4B8C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526E571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6CF7D36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761E862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478D8AA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2478E52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382573D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</w:tr>
      <w:tr w14:paraId="2A3DF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4B684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textAlignment w:val="auto"/>
              <w:rPr>
                <w:rFonts w:hint="default" w:ascii="Times New Roman" w:hAnsi="Times New Roman" w:eastAsia="仿宋_GB2312" w:cs="Times New Roman"/>
                <w:color w:val="004372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7CEDB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textAlignment w:val="auto"/>
              <w:rPr>
                <w:rFonts w:hint="default" w:ascii="Times New Roman" w:hAnsi="Times New Roman" w:eastAsia="仿宋_GB2312" w:cs="Times New Roman"/>
                <w:color w:val="004372"/>
                <w:sz w:val="24"/>
                <w:szCs w:val="24"/>
              </w:rPr>
            </w:pPr>
          </w:p>
        </w:tc>
        <w:tc>
          <w:tcPr>
            <w:tcW w:w="217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52F8502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4"/>
                <w:szCs w:val="14"/>
              </w:rPr>
              <w:t>7．属于行政执法案卷</w:t>
            </w:r>
          </w:p>
        </w:tc>
        <w:tc>
          <w:tcPr>
            <w:tcW w:w="3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6951B2B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4E070AC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77B1D19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180BCFC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47F0C80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6568635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2751167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</w:tr>
      <w:tr w14:paraId="16D21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6080E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textAlignment w:val="auto"/>
              <w:rPr>
                <w:rFonts w:hint="default" w:ascii="Times New Roman" w:hAnsi="Times New Roman" w:eastAsia="仿宋_GB2312" w:cs="Times New Roman"/>
                <w:color w:val="004372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4F2D9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textAlignment w:val="auto"/>
              <w:rPr>
                <w:rFonts w:hint="default" w:ascii="Times New Roman" w:hAnsi="Times New Roman" w:eastAsia="仿宋_GB2312" w:cs="Times New Roman"/>
                <w:color w:val="004372"/>
                <w:sz w:val="24"/>
                <w:szCs w:val="24"/>
              </w:rPr>
            </w:pPr>
          </w:p>
        </w:tc>
        <w:tc>
          <w:tcPr>
            <w:tcW w:w="217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633BAF1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4"/>
                <w:szCs w:val="14"/>
              </w:rPr>
              <w:t>8．属于行政查询事项</w:t>
            </w:r>
          </w:p>
        </w:tc>
        <w:tc>
          <w:tcPr>
            <w:tcW w:w="3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69D8EF5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2958707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2E209F7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674BB60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2357D25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3FFA22A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1BDD4AD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</w:tr>
      <w:tr w14:paraId="4E92A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7C0C3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textAlignment w:val="auto"/>
              <w:rPr>
                <w:rFonts w:hint="default" w:ascii="Times New Roman" w:hAnsi="Times New Roman" w:eastAsia="仿宋_GB2312" w:cs="Times New Roman"/>
                <w:color w:val="004372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9A76A6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4"/>
                <w:szCs w:val="14"/>
              </w:rPr>
              <w:t>（四）无法提供</w:t>
            </w:r>
          </w:p>
        </w:tc>
        <w:tc>
          <w:tcPr>
            <w:tcW w:w="217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1D4BFF8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4"/>
                <w:szCs w:val="14"/>
              </w:rPr>
              <w:t>1．本机关不掌握相关政府信息</w:t>
            </w:r>
          </w:p>
        </w:tc>
        <w:tc>
          <w:tcPr>
            <w:tcW w:w="3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61DFA62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577C0D8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3F3506A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6E1C806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704B27A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0C95E75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433CB36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</w:tr>
      <w:tr w14:paraId="4F2E6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DEEBD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textAlignment w:val="auto"/>
              <w:rPr>
                <w:rFonts w:hint="default" w:ascii="Times New Roman" w:hAnsi="Times New Roman" w:eastAsia="仿宋_GB2312" w:cs="Times New Roman"/>
                <w:color w:val="004372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8EA09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textAlignment w:val="auto"/>
              <w:rPr>
                <w:rFonts w:hint="default" w:ascii="Times New Roman" w:hAnsi="Times New Roman" w:eastAsia="仿宋_GB2312" w:cs="Times New Roman"/>
                <w:color w:val="004372"/>
                <w:sz w:val="24"/>
                <w:szCs w:val="24"/>
              </w:rPr>
            </w:pPr>
          </w:p>
        </w:tc>
        <w:tc>
          <w:tcPr>
            <w:tcW w:w="217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4E12134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4"/>
                <w:szCs w:val="14"/>
              </w:rPr>
              <w:t>2．没有现成信息需要另行制作</w:t>
            </w:r>
          </w:p>
        </w:tc>
        <w:tc>
          <w:tcPr>
            <w:tcW w:w="3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2ADEA51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5770E60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7D913AE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0C65598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40DD370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38236AF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467A369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</w:tr>
      <w:tr w14:paraId="47F52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466CC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textAlignment w:val="auto"/>
              <w:rPr>
                <w:rFonts w:hint="default" w:ascii="Times New Roman" w:hAnsi="Times New Roman" w:eastAsia="仿宋_GB2312" w:cs="Times New Roman"/>
                <w:color w:val="004372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733AF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textAlignment w:val="auto"/>
              <w:rPr>
                <w:rFonts w:hint="default" w:ascii="Times New Roman" w:hAnsi="Times New Roman" w:eastAsia="仿宋_GB2312" w:cs="Times New Roman"/>
                <w:color w:val="004372"/>
                <w:sz w:val="24"/>
                <w:szCs w:val="24"/>
              </w:rPr>
            </w:pPr>
          </w:p>
        </w:tc>
        <w:tc>
          <w:tcPr>
            <w:tcW w:w="217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0B86B54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4"/>
                <w:szCs w:val="14"/>
              </w:rPr>
              <w:t>3．补正后申请内容仍不明确</w:t>
            </w:r>
          </w:p>
        </w:tc>
        <w:tc>
          <w:tcPr>
            <w:tcW w:w="3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11F62F7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2CB1B23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3F7FE9B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0E12BE5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7A3C1A7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6A9202D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5F58E97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</w:tr>
      <w:tr w14:paraId="45BBA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5A867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textAlignment w:val="auto"/>
              <w:rPr>
                <w:rFonts w:hint="default" w:ascii="Times New Roman" w:hAnsi="Times New Roman" w:eastAsia="仿宋_GB2312" w:cs="Times New Roman"/>
                <w:color w:val="004372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A9DD8B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4"/>
                <w:szCs w:val="14"/>
              </w:rPr>
              <w:t>（五）不予处理</w:t>
            </w:r>
          </w:p>
        </w:tc>
        <w:tc>
          <w:tcPr>
            <w:tcW w:w="217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5146D42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4"/>
                <w:szCs w:val="14"/>
              </w:rPr>
              <w:t>1．信访举报投诉类申请</w:t>
            </w:r>
          </w:p>
        </w:tc>
        <w:tc>
          <w:tcPr>
            <w:tcW w:w="3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6890BC7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452D4BA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5AAC095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1626D90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63B46CD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34BE494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1E4643C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</w:tr>
      <w:tr w14:paraId="204B6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3D6F1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textAlignment w:val="auto"/>
              <w:rPr>
                <w:rFonts w:hint="default" w:ascii="Times New Roman" w:hAnsi="Times New Roman" w:eastAsia="仿宋_GB2312" w:cs="Times New Roman"/>
                <w:color w:val="004372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60D7F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textAlignment w:val="auto"/>
              <w:rPr>
                <w:rFonts w:hint="default" w:ascii="Times New Roman" w:hAnsi="Times New Roman" w:eastAsia="仿宋_GB2312" w:cs="Times New Roman"/>
                <w:color w:val="004372"/>
                <w:sz w:val="24"/>
                <w:szCs w:val="24"/>
              </w:rPr>
            </w:pPr>
          </w:p>
        </w:tc>
        <w:tc>
          <w:tcPr>
            <w:tcW w:w="217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79E93B5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4"/>
                <w:szCs w:val="14"/>
              </w:rPr>
              <w:t>2．重复申请</w:t>
            </w:r>
          </w:p>
        </w:tc>
        <w:tc>
          <w:tcPr>
            <w:tcW w:w="3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4BD448C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7A1DC00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3C85EF0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2ECB53C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2BD6C77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3ECFF02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7D8695B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</w:tr>
      <w:tr w14:paraId="6D904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4699E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textAlignment w:val="auto"/>
              <w:rPr>
                <w:rFonts w:hint="default" w:ascii="Times New Roman" w:hAnsi="Times New Roman" w:eastAsia="仿宋_GB2312" w:cs="Times New Roman"/>
                <w:color w:val="004372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A582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textAlignment w:val="auto"/>
              <w:rPr>
                <w:rFonts w:hint="default" w:ascii="Times New Roman" w:hAnsi="Times New Roman" w:eastAsia="仿宋_GB2312" w:cs="Times New Roman"/>
                <w:color w:val="004372"/>
                <w:sz w:val="24"/>
                <w:szCs w:val="24"/>
              </w:rPr>
            </w:pPr>
          </w:p>
        </w:tc>
        <w:tc>
          <w:tcPr>
            <w:tcW w:w="217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3601667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4"/>
                <w:szCs w:val="14"/>
              </w:rPr>
              <w:t>3．要求提供公开出版物</w:t>
            </w:r>
          </w:p>
        </w:tc>
        <w:tc>
          <w:tcPr>
            <w:tcW w:w="3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1F5EC99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2147F57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21C967D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1F4C660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6AB1097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2000365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5E7DD70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</w:tr>
      <w:tr w14:paraId="1A775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6BFC6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textAlignment w:val="auto"/>
              <w:rPr>
                <w:rFonts w:hint="default" w:ascii="Times New Roman" w:hAnsi="Times New Roman" w:eastAsia="仿宋_GB2312" w:cs="Times New Roman"/>
                <w:color w:val="004372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00AE7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textAlignment w:val="auto"/>
              <w:rPr>
                <w:rFonts w:hint="default" w:ascii="Times New Roman" w:hAnsi="Times New Roman" w:eastAsia="仿宋_GB2312" w:cs="Times New Roman"/>
                <w:color w:val="004372"/>
                <w:sz w:val="24"/>
                <w:szCs w:val="24"/>
              </w:rPr>
            </w:pPr>
          </w:p>
        </w:tc>
        <w:tc>
          <w:tcPr>
            <w:tcW w:w="217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4134CAB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4"/>
                <w:szCs w:val="14"/>
              </w:rPr>
              <w:t>4．无正当理由大量反复申请</w:t>
            </w:r>
          </w:p>
        </w:tc>
        <w:tc>
          <w:tcPr>
            <w:tcW w:w="3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4896C36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1BEE8F7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16B5ACE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4DBDD29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000AE5F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1017F7D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13C456D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</w:tr>
      <w:tr w14:paraId="707D3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3E8A8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textAlignment w:val="auto"/>
              <w:rPr>
                <w:rFonts w:hint="default" w:ascii="Times New Roman" w:hAnsi="Times New Roman" w:eastAsia="仿宋_GB2312" w:cs="Times New Roman"/>
                <w:color w:val="004372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69584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textAlignment w:val="auto"/>
              <w:rPr>
                <w:rFonts w:hint="default" w:ascii="Times New Roman" w:hAnsi="Times New Roman" w:eastAsia="仿宋_GB2312" w:cs="Times New Roman"/>
                <w:color w:val="004372"/>
                <w:sz w:val="24"/>
                <w:szCs w:val="24"/>
              </w:rPr>
            </w:pPr>
          </w:p>
        </w:tc>
        <w:tc>
          <w:tcPr>
            <w:tcW w:w="217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19EF7C9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right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4"/>
                <w:szCs w:val="14"/>
              </w:rPr>
              <w:t>5．要求行政机关确认或重新出具已获取信息</w:t>
            </w:r>
          </w:p>
        </w:tc>
        <w:tc>
          <w:tcPr>
            <w:tcW w:w="3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4AA10D9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1DD3EBA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4C07654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179A158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1BAA83D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5395987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5B59558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</w:tr>
      <w:tr w14:paraId="36FB3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  <w:jc w:val="center"/>
        </w:trPr>
        <w:tc>
          <w:tcPr>
            <w:tcW w:w="115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05A9C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4372"/>
              </w:rPr>
            </w:pPr>
          </w:p>
        </w:tc>
        <w:tc>
          <w:tcPr>
            <w:tcW w:w="120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5B57CD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4"/>
                <w:szCs w:val="14"/>
              </w:rPr>
              <w:t>（六）其他处理</w:t>
            </w:r>
          </w:p>
        </w:tc>
        <w:tc>
          <w:tcPr>
            <w:tcW w:w="217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28008C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4"/>
                <w:szCs w:val="1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4"/>
                <w:szCs w:val="14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3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084B50C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1110337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2553A76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763B192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606AF87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1DCF53D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578F9D4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</w:tr>
      <w:tr w14:paraId="1C6C8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5DA4964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F69C30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17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D114BC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4"/>
                <w:szCs w:val="1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4"/>
                <w:szCs w:val="14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3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3E189E2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2CB2057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1A43626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3A088C8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27D0792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6000CCB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5F5E79E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</w:tr>
      <w:tr w14:paraId="223A9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337C60E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4"/>
                <w:szCs w:val="14"/>
              </w:rPr>
            </w:pPr>
          </w:p>
        </w:tc>
        <w:tc>
          <w:tcPr>
            <w:tcW w:w="12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9E25BD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4"/>
                <w:szCs w:val="14"/>
              </w:rPr>
            </w:pPr>
          </w:p>
        </w:tc>
        <w:tc>
          <w:tcPr>
            <w:tcW w:w="217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7BB919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4"/>
                <w:szCs w:val="1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4"/>
                <w:szCs w:val="14"/>
                <w:lang w:val="en-US" w:eastAsia="zh-CN"/>
              </w:rPr>
              <w:t>3.其他</w:t>
            </w:r>
          </w:p>
        </w:tc>
        <w:tc>
          <w:tcPr>
            <w:tcW w:w="3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516F466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6D3CC61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6C1F454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48773D0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36E00BD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6D0417E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30C0658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</w:tr>
      <w:tr w14:paraId="6B30D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7FCD4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4372"/>
              </w:rPr>
            </w:pPr>
          </w:p>
        </w:tc>
        <w:tc>
          <w:tcPr>
            <w:tcW w:w="337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5568F2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4"/>
                <w:szCs w:val="14"/>
              </w:rPr>
              <w:t>（七）总计</w:t>
            </w:r>
          </w:p>
        </w:tc>
        <w:tc>
          <w:tcPr>
            <w:tcW w:w="3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490E8E1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73FB1C7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00B1237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09CF691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1185930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5C23B1D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52301ED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18"/>
                <w:szCs w:val="18"/>
                <w:lang w:val="en-US" w:eastAsia="zh-CN"/>
              </w:rPr>
              <w:t>69</w:t>
            </w:r>
          </w:p>
        </w:tc>
      </w:tr>
      <w:tr w14:paraId="22917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3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BF3645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四、结转下年度继续办理</w:t>
            </w:r>
          </w:p>
        </w:tc>
        <w:tc>
          <w:tcPr>
            <w:tcW w:w="3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01D6D82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072BDFF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1E8D585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7A49C9A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11CF06E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58572CE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56397B9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</w:tr>
    </w:tbl>
    <w:p w14:paraId="2A4D59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因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政府信息公开工作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被申请行政复议、行政诉讼情况</w:t>
      </w:r>
    </w:p>
    <w:tbl>
      <w:tblPr>
        <w:tblStyle w:val="6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1"/>
        <w:gridCol w:w="572"/>
        <w:gridCol w:w="572"/>
        <w:gridCol w:w="548"/>
        <w:gridCol w:w="487"/>
        <w:gridCol w:w="572"/>
        <w:gridCol w:w="572"/>
        <w:gridCol w:w="572"/>
        <w:gridCol w:w="572"/>
        <w:gridCol w:w="353"/>
        <w:gridCol w:w="694"/>
        <w:gridCol w:w="525"/>
        <w:gridCol w:w="622"/>
        <w:gridCol w:w="573"/>
        <w:gridCol w:w="474"/>
      </w:tblGrid>
      <w:tr w14:paraId="0CE37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2990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090EE5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行政复议</w:t>
            </w:r>
          </w:p>
        </w:tc>
        <w:tc>
          <w:tcPr>
            <w:tcW w:w="5529" w:type="dxa"/>
            <w:gridSpan w:val="10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96D8A2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行政诉讼</w:t>
            </w:r>
          </w:p>
        </w:tc>
      </w:tr>
      <w:tr w14:paraId="06AEE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81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AEB075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结果维持</w:t>
            </w:r>
          </w:p>
        </w:tc>
        <w:tc>
          <w:tcPr>
            <w:tcW w:w="57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F0F9F3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结果纠正</w:t>
            </w:r>
          </w:p>
        </w:tc>
        <w:tc>
          <w:tcPr>
            <w:tcW w:w="57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2A469F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其他结果</w:t>
            </w:r>
          </w:p>
        </w:tc>
        <w:tc>
          <w:tcPr>
            <w:tcW w:w="54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C88AA6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尚未审结</w:t>
            </w:r>
          </w:p>
        </w:tc>
        <w:tc>
          <w:tcPr>
            <w:tcW w:w="48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EA215A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总计</w:t>
            </w:r>
          </w:p>
        </w:tc>
        <w:tc>
          <w:tcPr>
            <w:tcW w:w="2641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CF22EE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未经复议直接起诉</w:t>
            </w:r>
          </w:p>
        </w:tc>
        <w:tc>
          <w:tcPr>
            <w:tcW w:w="2888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78DBD8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复议后起诉</w:t>
            </w:r>
          </w:p>
        </w:tc>
      </w:tr>
      <w:tr w14:paraId="0772B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C59AB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textAlignment w:val="auto"/>
              <w:rPr>
                <w:rFonts w:hint="default" w:ascii="Times New Roman" w:hAnsi="Times New Roman" w:eastAsia="仿宋_GB2312" w:cs="Times New Roman"/>
                <w:color w:val="004372"/>
                <w:sz w:val="24"/>
                <w:szCs w:val="24"/>
              </w:rPr>
            </w:pPr>
          </w:p>
        </w:tc>
        <w:tc>
          <w:tcPr>
            <w:tcW w:w="57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A653A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textAlignment w:val="auto"/>
              <w:rPr>
                <w:rFonts w:hint="default" w:ascii="Times New Roman" w:hAnsi="Times New Roman" w:eastAsia="仿宋_GB2312" w:cs="Times New Roman"/>
                <w:color w:val="004372"/>
                <w:sz w:val="24"/>
                <w:szCs w:val="24"/>
              </w:rPr>
            </w:pPr>
          </w:p>
        </w:tc>
        <w:tc>
          <w:tcPr>
            <w:tcW w:w="57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1C69D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textAlignment w:val="auto"/>
              <w:rPr>
                <w:rFonts w:hint="default" w:ascii="Times New Roman" w:hAnsi="Times New Roman" w:eastAsia="仿宋_GB2312" w:cs="Times New Roman"/>
                <w:color w:val="004372"/>
                <w:sz w:val="24"/>
                <w:szCs w:val="24"/>
              </w:rPr>
            </w:pPr>
          </w:p>
        </w:tc>
        <w:tc>
          <w:tcPr>
            <w:tcW w:w="54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EE8F9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textAlignment w:val="auto"/>
              <w:rPr>
                <w:rFonts w:hint="default" w:ascii="Times New Roman" w:hAnsi="Times New Roman" w:eastAsia="仿宋_GB2312" w:cs="Times New Roman"/>
                <w:color w:val="004372"/>
                <w:sz w:val="24"/>
                <w:szCs w:val="24"/>
              </w:rPr>
            </w:pPr>
          </w:p>
        </w:tc>
        <w:tc>
          <w:tcPr>
            <w:tcW w:w="48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8BF9F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4" w:lineRule="exact"/>
              <w:textAlignment w:val="auto"/>
              <w:rPr>
                <w:rFonts w:hint="default" w:ascii="Times New Roman" w:hAnsi="Times New Roman" w:eastAsia="仿宋_GB2312" w:cs="Times New Roman"/>
                <w:color w:val="004372"/>
                <w:sz w:val="24"/>
                <w:szCs w:val="24"/>
              </w:rPr>
            </w:pPr>
          </w:p>
        </w:tc>
        <w:tc>
          <w:tcPr>
            <w:tcW w:w="57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6CE66E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结果维持</w:t>
            </w:r>
          </w:p>
        </w:tc>
        <w:tc>
          <w:tcPr>
            <w:tcW w:w="57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959391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结果纠正</w:t>
            </w:r>
          </w:p>
        </w:tc>
        <w:tc>
          <w:tcPr>
            <w:tcW w:w="57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B16E82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其他结果</w:t>
            </w:r>
          </w:p>
        </w:tc>
        <w:tc>
          <w:tcPr>
            <w:tcW w:w="57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420480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尚未审结</w:t>
            </w:r>
          </w:p>
        </w:tc>
        <w:tc>
          <w:tcPr>
            <w:tcW w:w="3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E4CC08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总计</w:t>
            </w:r>
          </w:p>
        </w:tc>
        <w:tc>
          <w:tcPr>
            <w:tcW w:w="69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CE139E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结果维持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C4C43C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结果纠正</w:t>
            </w:r>
          </w:p>
        </w:tc>
        <w:tc>
          <w:tcPr>
            <w:tcW w:w="6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789218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其他结果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581D4F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尚未审结</w:t>
            </w:r>
          </w:p>
        </w:tc>
        <w:tc>
          <w:tcPr>
            <w:tcW w:w="47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E91778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总计</w:t>
            </w:r>
          </w:p>
        </w:tc>
      </w:tr>
      <w:tr w14:paraId="56B7E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7BD3C9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5AC5ED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87DCD3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BF1832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7409EB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952C5B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BA5CCE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0E0A21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AB0E91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3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1D164B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69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A083BE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0552A6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6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73BEFC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4D3211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47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C3A2C4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18"/>
                <w:szCs w:val="18"/>
              </w:rPr>
              <w:t>0</w:t>
            </w:r>
          </w:p>
        </w:tc>
      </w:tr>
    </w:tbl>
    <w:p w14:paraId="7169F6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政府信息公开工作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存在的主要问题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改进措施</w:t>
      </w:r>
    </w:p>
    <w:p w14:paraId="7F4702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（一）存在主要问题：</w:t>
      </w: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2024年，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市统计局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在市委、市政府的坚强领导下，认真落实各项政务公开工作要求，高标准推进各项政务公开工作。但对照上级要求和公众需求，仍然存在一定的差距和不足。一是创新推动政务公开工作力度有待加强。目前，能够按照市委、市政府要求，常态化推进各项政务公开工作，逐项做好政务公开工作，但是在创新点、亮点上打造不够；二是政府主动信息公开规范性上有待提升。今年，我们虽然注重加强信息公开规范性，但是在推动主动公开信息发布的过程中，格式、要素不一致、不完备现象仍然存在，需进一步提升和加强。</w:t>
      </w:r>
    </w:p>
    <w:p w14:paraId="065F82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（二）改进措施及整改效果：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市统计局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将从三点上进一步加强政务公开工作。一是立足点上注重标准规范。严格按照上级关于政务公开工作要求，以标准化、规范化为立足点，在目录编制、信息公开等方面，加强工作力度，提升政务公开工作的规范性。二是创新点上强化培塑挖掘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强化意见征集，加大政策解读力度，进一步做好部门文件、统计数据等的解读，拓宽形式、丰富内容。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三是落脚点上提高服务质效。市统计局将牢固树立“服务统计”工作理念，以公开促服务、以服务强统计，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认真研究全市政务公开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各项工作要求，加强内容审核、信息公开保密审查、便民需求等工作，不断提高统计服务质效。</w:t>
      </w:r>
    </w:p>
    <w:p w14:paraId="3D6871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六、其他需要报告的事项</w:t>
      </w:r>
    </w:p>
    <w:p w14:paraId="0CE432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（一）收取信息处理费情况</w:t>
      </w:r>
    </w:p>
    <w:p w14:paraId="290532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年，市统计局没有收取任何政府信息公开信息处理费。</w:t>
      </w:r>
    </w:p>
    <w:p w14:paraId="447785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（二）建议提案办理情况</w:t>
      </w:r>
    </w:p>
    <w:p w14:paraId="23ACEF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2024年，市统计局没有收到人大、政协代表提案建议。</w:t>
      </w:r>
    </w:p>
    <w:p w14:paraId="36C559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（三）在政务公开制度、内容、形式和平台建设方面的创新实践情况</w:t>
      </w:r>
    </w:p>
    <w:p w14:paraId="5D60F4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2024年，淄博市统计局坚持统计服务理念，把做好政务信息公开作为改进工作作风、狠抓工作落实的重要举措，健全公开机制、拓展公开渠道、提高公开质量，全面提升统计服务质效。加强组织领导，健全公开机制。坚持“谁主管、谁负责”原则，强化“主要领导亲自抓、分管领导层层抓、牵头科室具体抓”工作机制，通过局长办公会定期汇报政务公开工作最新要求和工作进展，将政务公开具体任务分解落实到各科室、单位，提升全体人员责任意识，确保发布内容的准确性、及时性和权威性。强化平台建设，拓展公开渠道。积极参与市委市政府经济形势研判，加强与发改委、工信、商务、住建等部门的沟通联系，增强数据服务的主动性和前瞻性。持续抓好政务公开平台建设，以政府网站、淄博统计门户网站、“淄博统计”微信公众号为主，结合“中国统计开放日”、新闻发布会等模式，畅通公开渠道，加强规范管理，确保优质信息及时公开。聚焦公众需求，提高公开质量。紧扣社会公众需求，选取与公众贴合程度较高、需要面向公众普及的统计术语、统计指标和统计知识进行宣传解读，增强社会公众对统计工作的理解。创新公开形式，运用文字、动漫、图片、其他媒体形式解读统计数据和五经普工作，提升公众对统计工作的认可和支持。</w:t>
      </w:r>
    </w:p>
    <w:p w14:paraId="240660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《2024年淄博市政务公开工作方案》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落实情况</w:t>
      </w:r>
    </w:p>
    <w:p w14:paraId="4C45B9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年，市统计局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认真学习领会国家、省、市关于政务公开工作的各项要求，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全面贯彻落实《202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年淄博市政务公开工作方案》，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进一步强化组织领导，狠抓工作落实，提升统计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政务公开工作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质效。一是高点定位。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坚持把政务公开工作作为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年度重要工作事项，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将其纳入局长办公会、《全市统计工作要点》等内容，细化职责、明确要求，提高政务公开在统计工作中的效能。及时更新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调整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市统计局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政务公开领导小组，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确保政务公开工作有人管；二是高位推动。强化“主要领导亲自抓、分管领导层层抓、牵头科室具体抓”工作机制，健全完善政府信息主动公开目录，明确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信息公开的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职责定位、时限要求和公开内容；三是高效落实。结合统计实际，聚焦中心服务大局，充分发挥统计“参谋助手”作用，及时发布统计公报、年鉴、数据等，按月发布统计数据、按年发布统计公报、统计年鉴。同时，做好部门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会议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公开，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坚持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同步组织、同步公开、同步解读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原则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，为全市政务公开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做出统计贡献。</w:t>
      </w:r>
    </w:p>
    <w:p w14:paraId="145886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4160" w:firstLineChars="13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 w14:paraId="09C363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4160" w:firstLineChars="13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 w14:paraId="084CDB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4160" w:firstLineChars="13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淄博市统计局</w:t>
      </w:r>
    </w:p>
    <w:p w14:paraId="56CCF4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                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年1月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日</w:t>
      </w:r>
    </w:p>
    <w:sectPr>
      <w:footerReference r:id="rId3" w:type="default"/>
      <w:pgSz w:w="11906" w:h="16838"/>
      <w:pgMar w:top="2098" w:right="1474" w:bottom="1871" w:left="1587" w:header="851" w:footer="992" w:gutter="0"/>
      <w:paperSrc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5F49F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2B4700"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2B4700">
                    <w:pPr>
                      <w:pStyle w:val="3"/>
                    </w:pPr>
                    <w: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zZGJhOGNhMTAwMTlmODJiMzJhNTk3ZjhiOWZlYWMifQ=="/>
  </w:docVars>
  <w:rsids>
    <w:rsidRoot w:val="747B7439"/>
    <w:rsid w:val="15EE3F6D"/>
    <w:rsid w:val="21F665C5"/>
    <w:rsid w:val="453827FD"/>
    <w:rsid w:val="4D4A7303"/>
    <w:rsid w:val="747B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3844</Words>
  <Characters>3969</Characters>
  <Lines>0</Lines>
  <Paragraphs>0</Paragraphs>
  <TotalTime>14</TotalTime>
  <ScaleCrop>false</ScaleCrop>
  <LinksUpToDate>false</LinksUpToDate>
  <CharactersWithSpaces>4023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2024-01-22T01:58:00Z</dcterms:created>
  <dc:creator>在一起～</dc:creator>
  <cp:lastModifiedBy>在一起～</cp:lastModifiedBy>
  <cp:lastPrinted>2024-01-22T03:37:00Z</cp:lastPrinted>
  <dcterms:modified xsi:type="dcterms:W3CDTF">2025-01-09T02:54:49Z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B38D66F06034481DAE5F951D355AEB78_13</vt:lpwstr>
  </property>
</Properties>
</file>